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885" w:rsidRDefault="009F1885">
      <w:pPr>
        <w:rPr>
          <w:rFonts w:ascii="Sylfaen" w:hAnsi="Sylfaen"/>
          <w:sz w:val="24"/>
          <w:szCs w:val="24"/>
          <w:lang w:val="hy-AM"/>
        </w:rPr>
      </w:pPr>
      <w:bookmarkStart w:id="0" w:name="_GoBack"/>
      <w:bookmarkEnd w:id="0"/>
    </w:p>
    <w:p w:rsidR="00577F80" w:rsidRPr="00F07951" w:rsidRDefault="00E6249A">
      <w:pPr>
        <w:rPr>
          <w:rFonts w:ascii="Sylfaen" w:hAnsi="Sylfaen"/>
          <w:sz w:val="24"/>
          <w:szCs w:val="24"/>
          <w:lang w:val="hy-AM"/>
        </w:rPr>
      </w:pPr>
      <w:r w:rsidRPr="00F07951">
        <w:rPr>
          <w:rFonts w:ascii="Sylfaen" w:hAnsi="Sylfaen"/>
          <w:sz w:val="24"/>
          <w:szCs w:val="24"/>
          <w:lang w:val="hy-AM"/>
        </w:rPr>
        <w:t>Հարգելի քաղաքացի</w:t>
      </w:r>
      <w:r w:rsidR="00F07951">
        <w:rPr>
          <w:rFonts w:ascii="Sylfaen" w:hAnsi="Sylfaen"/>
          <w:sz w:val="24"/>
          <w:szCs w:val="24"/>
          <w:lang w:val="hy-AM"/>
        </w:rPr>
        <w:t>՛,</w:t>
      </w:r>
    </w:p>
    <w:p w:rsidR="00E6249A" w:rsidRPr="00F07951" w:rsidRDefault="00E6249A" w:rsidP="00E6249A">
      <w:pPr>
        <w:pStyle w:val="ListParagraph"/>
        <w:numPr>
          <w:ilvl w:val="0"/>
          <w:numId w:val="1"/>
        </w:numPr>
        <w:rPr>
          <w:rFonts w:ascii="Sylfaen" w:hAnsi="Sylfaen"/>
          <w:sz w:val="24"/>
          <w:szCs w:val="24"/>
          <w:lang w:val="hy-AM"/>
        </w:rPr>
      </w:pPr>
      <w:r w:rsidRPr="00F07951">
        <w:rPr>
          <w:rFonts w:ascii="Sylfaen" w:hAnsi="Sylfaen"/>
          <w:sz w:val="24"/>
          <w:szCs w:val="24"/>
          <w:lang w:val="hy-AM"/>
        </w:rPr>
        <w:t xml:space="preserve">Հօ-160-Ն </w:t>
      </w:r>
      <w:r w:rsidRPr="00F07951">
        <w:rPr>
          <w:rFonts w:ascii="Sylfaen" w:hAnsi="Sylfaen"/>
          <w:b/>
          <w:bCs/>
          <w:color w:val="545454"/>
          <w:sz w:val="24"/>
          <w:szCs w:val="24"/>
          <w:lang w:val="hy-AM"/>
        </w:rPr>
        <w:t xml:space="preserve">«ՀԱՆՐԱԿՐԹՈՒԹՅԱՆ ՄԱՍԻՆ» </w:t>
      </w:r>
      <w:r w:rsidRPr="00F07951">
        <w:rPr>
          <w:rFonts w:ascii="Sylfaen" w:hAnsi="Sylfaen"/>
          <w:bCs/>
          <w:color w:val="545454"/>
          <w:sz w:val="24"/>
          <w:szCs w:val="24"/>
          <w:lang w:val="hy-AM"/>
        </w:rPr>
        <w:t>օրենքի անցումային դրույթները</w:t>
      </w:r>
      <w:r w:rsidRPr="00F07951">
        <w:rPr>
          <w:rFonts w:ascii="Sylfaen" w:hAnsi="Sylfaen"/>
          <w:b/>
          <w:bCs/>
          <w:color w:val="545454"/>
          <w:sz w:val="24"/>
          <w:szCs w:val="24"/>
          <w:lang w:val="hy-AM"/>
        </w:rPr>
        <w:t xml:space="preserve"> </w:t>
      </w:r>
      <w:r w:rsidR="00F07951" w:rsidRPr="00F07951">
        <w:rPr>
          <w:rFonts w:ascii="Sylfaen" w:hAnsi="Sylfaen"/>
          <w:sz w:val="24"/>
          <w:szCs w:val="24"/>
          <w:lang w:val="hy-AM"/>
        </w:rPr>
        <w:t>(</w:t>
      </w:r>
      <w:r w:rsidR="009F1885">
        <w:rPr>
          <w:rFonts w:ascii="Sylfaen" w:hAnsi="Sylfaen"/>
          <w:sz w:val="24"/>
          <w:szCs w:val="24"/>
          <w:lang w:val="hy-AM"/>
        </w:rPr>
        <w:t>բերվում է</w:t>
      </w:r>
      <w:r w:rsidR="00F07951" w:rsidRPr="00F07951">
        <w:rPr>
          <w:rFonts w:ascii="Sylfaen" w:hAnsi="Sylfaen"/>
          <w:sz w:val="24"/>
          <w:szCs w:val="24"/>
          <w:lang w:val="hy-AM"/>
        </w:rPr>
        <w:t>)</w:t>
      </w:r>
    </w:p>
    <w:tbl>
      <w:tblPr>
        <w:tblW w:w="5000" w:type="pct"/>
        <w:tblCellSpacing w:w="0" w:type="dxa"/>
        <w:tblCellMar>
          <w:left w:w="0" w:type="dxa"/>
          <w:right w:w="0" w:type="dxa"/>
        </w:tblCellMar>
        <w:tblLook w:val="04A0" w:firstRow="1" w:lastRow="0" w:firstColumn="1" w:lastColumn="0" w:noHBand="0" w:noVBand="1"/>
      </w:tblPr>
      <w:tblGrid>
        <w:gridCol w:w="2025"/>
        <w:gridCol w:w="8748"/>
      </w:tblGrid>
      <w:tr w:rsidR="00E6249A" w:rsidRPr="00E6249A" w:rsidTr="00E6249A">
        <w:trPr>
          <w:tblCellSpacing w:w="0" w:type="dxa"/>
        </w:trPr>
        <w:tc>
          <w:tcPr>
            <w:tcW w:w="2025" w:type="dxa"/>
            <w:hideMark/>
          </w:tcPr>
          <w:p w:rsidR="00E6249A" w:rsidRPr="00F07951" w:rsidRDefault="00E6249A" w:rsidP="00E6249A">
            <w:pPr>
              <w:spacing w:after="0" w:line="240" w:lineRule="auto"/>
              <w:ind w:left="360"/>
              <w:jc w:val="center"/>
              <w:rPr>
                <w:rFonts w:ascii="Sylfaen" w:eastAsia="Times New Roman" w:hAnsi="Sylfaen" w:cs="Times New Roman"/>
                <w:sz w:val="24"/>
                <w:szCs w:val="24"/>
              </w:rPr>
            </w:pPr>
            <w:r w:rsidRPr="00F07951">
              <w:rPr>
                <w:rFonts w:ascii="Sylfaen" w:eastAsia="Times New Roman" w:hAnsi="Sylfaen" w:cs="Times New Roman"/>
                <w:b/>
                <w:bCs/>
                <w:sz w:val="24"/>
                <w:szCs w:val="24"/>
                <w:shd w:val="clear" w:color="auto" w:fill="FFFFFF"/>
              </w:rPr>
              <w:t xml:space="preserve">Հոդված 38. </w:t>
            </w:r>
          </w:p>
        </w:tc>
        <w:tc>
          <w:tcPr>
            <w:tcW w:w="0" w:type="auto"/>
            <w:hideMark/>
          </w:tcPr>
          <w:p w:rsidR="00E6249A" w:rsidRPr="00E6249A" w:rsidRDefault="00E6249A" w:rsidP="00E6249A">
            <w:pPr>
              <w:spacing w:after="0" w:line="240" w:lineRule="auto"/>
              <w:rPr>
                <w:rFonts w:ascii="Sylfaen" w:eastAsia="Times New Roman" w:hAnsi="Sylfaen" w:cs="Times New Roman"/>
                <w:sz w:val="24"/>
                <w:szCs w:val="24"/>
              </w:rPr>
            </w:pPr>
            <w:r w:rsidRPr="00F07951">
              <w:rPr>
                <w:rFonts w:ascii="Sylfaen" w:eastAsia="Times New Roman" w:hAnsi="Sylfaen" w:cs="Times New Roman"/>
                <w:b/>
                <w:bCs/>
                <w:sz w:val="24"/>
                <w:szCs w:val="24"/>
                <w:shd w:val="clear" w:color="auto" w:fill="FFFFFF"/>
              </w:rPr>
              <w:t>Անցումային դրույթներ</w:t>
            </w:r>
          </w:p>
        </w:tc>
      </w:tr>
    </w:tbl>
    <w:p w:rsidR="00E6249A" w:rsidRPr="00E6249A" w:rsidRDefault="00E6249A" w:rsidP="00E6249A">
      <w:pPr>
        <w:spacing w:after="0" w:line="240" w:lineRule="auto"/>
        <w:ind w:firstLine="375"/>
        <w:rPr>
          <w:rFonts w:ascii="Sylfaen" w:eastAsia="Times New Roman" w:hAnsi="Sylfaen" w:cs="Times New Roman"/>
          <w:sz w:val="24"/>
          <w:szCs w:val="24"/>
        </w:rPr>
      </w:pPr>
      <w:r w:rsidRPr="00E6249A">
        <w:rPr>
          <w:rFonts w:ascii="Sylfaen" w:eastAsia="Times New Roman" w:hAnsi="Sylfaen" w:cs="Arial"/>
          <w:sz w:val="24"/>
          <w:szCs w:val="24"/>
        </w:rPr>
        <w:t> </w:t>
      </w:r>
    </w:p>
    <w:p w:rsidR="00E6249A" w:rsidRPr="00E6249A" w:rsidRDefault="00E6249A" w:rsidP="00E6249A">
      <w:pPr>
        <w:spacing w:after="0" w:line="240" w:lineRule="auto"/>
        <w:ind w:firstLine="375"/>
        <w:rPr>
          <w:rFonts w:ascii="Sylfaen" w:eastAsia="Times New Roman" w:hAnsi="Sylfaen" w:cs="Times New Roman"/>
          <w:sz w:val="24"/>
          <w:szCs w:val="24"/>
        </w:rPr>
      </w:pPr>
      <w:r w:rsidRPr="00E6249A">
        <w:rPr>
          <w:rFonts w:ascii="Sylfaen" w:eastAsia="Times New Roman" w:hAnsi="Sylfaen" w:cs="Times New Roman"/>
          <w:sz w:val="24"/>
          <w:szCs w:val="24"/>
          <w:shd w:val="clear" w:color="auto" w:fill="FFFFFF"/>
        </w:rPr>
        <w:t>1. Սույն օրենքի 4-րդ հոդվածի 6-րդ մասի և 7-րդ հոդվածի 8-րդ մասի գործողությունը չի տարածվում մինչև 2006 թվականը հանրակրթական դպրոցների առաջին դասարան ընդունված 6.5 և բարձր տարիքի սովորողների վրա: Նրանց կրթությունը շարունակվում է` «Կրթության մասին» Հայաստանի Հանրապետության օրենքի 55-րդ հոդվածի համաձայն:</w:t>
      </w:r>
    </w:p>
    <w:p w:rsidR="00E6249A" w:rsidRPr="00E6249A" w:rsidRDefault="00E6249A" w:rsidP="00E6249A">
      <w:pPr>
        <w:spacing w:after="0" w:line="240" w:lineRule="auto"/>
        <w:ind w:firstLine="375"/>
        <w:rPr>
          <w:rFonts w:ascii="Sylfaen" w:eastAsia="Times New Roman" w:hAnsi="Sylfaen" w:cs="Times New Roman"/>
          <w:sz w:val="24"/>
          <w:szCs w:val="24"/>
        </w:rPr>
      </w:pPr>
      <w:r w:rsidRPr="00E6249A">
        <w:rPr>
          <w:rFonts w:ascii="Sylfaen" w:eastAsia="Times New Roman" w:hAnsi="Sylfaen" w:cs="Times New Roman"/>
          <w:sz w:val="24"/>
          <w:szCs w:val="24"/>
          <w:shd w:val="clear" w:color="auto" w:fill="FFFFFF"/>
        </w:rPr>
        <w:t xml:space="preserve">2. Պետական ուսումնական հաստատությունների տեսակների համապատասխանեցումը սույն օրենքի 8-րդ հոդվածի 1-ին և 5-րդ մասերի պահանջներին իրականացվում է Հայաստանի Հանրապետության կառավարության սահմանած ժամանակացույցով` մինչև 2011-2012 ուսումնական տարին: </w:t>
      </w:r>
    </w:p>
    <w:p w:rsidR="00E6249A" w:rsidRPr="00E6249A" w:rsidRDefault="00E6249A" w:rsidP="00E6249A">
      <w:pPr>
        <w:spacing w:after="0" w:line="240" w:lineRule="auto"/>
        <w:ind w:firstLine="375"/>
        <w:rPr>
          <w:rFonts w:ascii="Sylfaen" w:eastAsia="Times New Roman" w:hAnsi="Sylfaen" w:cs="Times New Roman"/>
          <w:sz w:val="24"/>
          <w:szCs w:val="24"/>
        </w:rPr>
      </w:pPr>
      <w:r w:rsidRPr="00E6249A">
        <w:rPr>
          <w:rFonts w:ascii="Sylfaen" w:eastAsia="Times New Roman" w:hAnsi="Sylfaen" w:cs="Times New Roman"/>
          <w:sz w:val="24"/>
          <w:szCs w:val="24"/>
          <w:shd w:val="clear" w:color="auto" w:fill="FFFFFF"/>
        </w:rPr>
        <w:t xml:space="preserve">3. Սույն օրենքի 12-րդ հոդվածի 1-ին և 2-րդ մասերով սահմանված դրույթները չեն տարածվում մինչև օրենքի ուժի մեջ մտնելը ընտրված տնօրենների վրա՝ մինչև օրենքով սահմանված նրանց լիազորությունների ժամկետի ավարտը։ Իսկ անորոշ ժամկետով պայմանագրի հիման վրա պաշտոնավարող տնօրենները մինչև 2011 թվականի օգոստոսի 1-ը վերապատրաստվում են, ստանում ուսումնական հաստատության կառավարման իրավունքի հավաստագիր և մասնակցում տնօրենի ընտրության համար մրցույթին` համաձայն Հայաստանի Հանրապետության կառավարության սահմանած կարգի և ժամանակացույցի։ Բացառություն է կազմում վաստակավոր մանկավարժի պատվավոր կոչում ստացած մանկավարժական աշխատողների կամ անորոշ ժամկետով պայմանագրի հիման վրա պաշտոնավարող այն տնօրենների հավաստագրումը, որոնց 61 և ավելի տարին լրանում է մինչև 2011 թվականի դեկտեմբերի 31-ը ներառյալ: Նրանց հավաստագրումը իրականացվում է կրթության պետական կառավարման լիազորված մարմնի սահմանած ընթացակարգով՝ թեստավորման միջոցով։ Համապատասխան հավաստագիր չստացած կամ մրցույթում չհաղթած տնօրենի լիազորությունները դադարեցվում են։ </w:t>
      </w:r>
    </w:p>
    <w:p w:rsidR="00E6249A" w:rsidRPr="00E6249A" w:rsidRDefault="00E6249A" w:rsidP="00E6249A">
      <w:pPr>
        <w:spacing w:after="0" w:line="240" w:lineRule="auto"/>
        <w:ind w:firstLine="375"/>
        <w:rPr>
          <w:rFonts w:ascii="Sylfaen" w:eastAsia="Times New Roman" w:hAnsi="Sylfaen" w:cs="Times New Roman"/>
          <w:sz w:val="24"/>
          <w:szCs w:val="24"/>
        </w:rPr>
      </w:pPr>
      <w:r w:rsidRPr="00E6249A">
        <w:rPr>
          <w:rFonts w:ascii="Sylfaen" w:eastAsia="Times New Roman" w:hAnsi="Sylfaen" w:cs="Times New Roman"/>
          <w:sz w:val="24"/>
          <w:szCs w:val="24"/>
          <w:shd w:val="clear" w:color="auto" w:fill="FFFFFF"/>
        </w:rPr>
        <w:t xml:space="preserve">4. Սույն օրենքի 26-րդ հոդվածն ուժի մեջ է մտնում 2010 թվականի մարտի 1-ից: </w:t>
      </w:r>
    </w:p>
    <w:p w:rsidR="00E6249A" w:rsidRPr="00E6249A" w:rsidRDefault="00E6249A" w:rsidP="00E6249A">
      <w:pPr>
        <w:spacing w:after="0" w:line="240" w:lineRule="auto"/>
        <w:ind w:firstLine="375"/>
        <w:rPr>
          <w:rFonts w:ascii="Sylfaen" w:eastAsia="Times New Roman" w:hAnsi="Sylfaen" w:cs="Times New Roman"/>
          <w:sz w:val="24"/>
          <w:szCs w:val="24"/>
        </w:rPr>
      </w:pPr>
      <w:r w:rsidRPr="00E6249A">
        <w:rPr>
          <w:rFonts w:ascii="Sylfaen" w:eastAsia="Times New Roman" w:hAnsi="Sylfaen" w:cs="Times New Roman"/>
          <w:sz w:val="24"/>
          <w:szCs w:val="24"/>
          <w:shd w:val="clear" w:color="auto" w:fill="FFFFFF"/>
        </w:rPr>
        <w:t xml:space="preserve">5. Ուսումնական հաստատությունում աշխատող այն ուսուցիչները, որոնք չեն համապատասխանում սույն օրենքի 26-րդ հոդվածի 1-ին կետով սահմանված պահանջներին, կարող են շարունակել իրենց մասնագիտական գործունեությունը մինչև 2018 թվականի օգոստոսի 20-ը, եթե մինչև այդ չեն ապահովում ուսուցչին ներկայացվող պահանջները: </w:t>
      </w:r>
    </w:p>
    <w:p w:rsidR="00E6249A" w:rsidRPr="00E6249A" w:rsidRDefault="00E6249A" w:rsidP="00E6249A">
      <w:pPr>
        <w:spacing w:after="0" w:line="240" w:lineRule="auto"/>
        <w:ind w:firstLine="375"/>
        <w:rPr>
          <w:rFonts w:ascii="Sylfaen" w:eastAsia="Times New Roman" w:hAnsi="Sylfaen" w:cs="Times New Roman"/>
          <w:sz w:val="24"/>
          <w:szCs w:val="24"/>
        </w:rPr>
      </w:pPr>
      <w:r w:rsidRPr="00E6249A">
        <w:rPr>
          <w:rFonts w:ascii="Sylfaen" w:eastAsia="Times New Roman" w:hAnsi="Sylfaen" w:cs="Times New Roman"/>
          <w:sz w:val="24"/>
          <w:szCs w:val="24"/>
          <w:shd w:val="clear" w:color="auto" w:fill="FFFFFF"/>
        </w:rPr>
        <w:t>6. Սույն օրենքի 34-րդ հոդվածն ուժի մեջ է մտնում 2012 թվականի օգոստոսի 1-ից:</w:t>
      </w:r>
    </w:p>
    <w:p w:rsidR="00E6249A" w:rsidRPr="00E6249A" w:rsidRDefault="00E6249A" w:rsidP="00E6249A">
      <w:pPr>
        <w:spacing w:after="0" w:line="240" w:lineRule="auto"/>
        <w:ind w:firstLine="375"/>
        <w:rPr>
          <w:rFonts w:ascii="Sylfaen" w:eastAsia="Times New Roman" w:hAnsi="Sylfaen" w:cs="Times New Roman"/>
          <w:sz w:val="24"/>
          <w:szCs w:val="24"/>
        </w:rPr>
      </w:pPr>
      <w:r w:rsidRPr="00E6249A">
        <w:rPr>
          <w:rFonts w:ascii="Sylfaen" w:eastAsia="Times New Roman" w:hAnsi="Sylfaen" w:cs="Times New Roman"/>
          <w:sz w:val="24"/>
          <w:szCs w:val="24"/>
          <w:shd w:val="clear" w:color="auto" w:fill="FFFFFF"/>
        </w:rPr>
        <w:t>7. Սույն օրենքի դրույթներին չհամապատասխանող նորմատիվ իրավական ակտերը մինչև 2010 թվականի օգոստոսի 20-ը համապատասխանեցվում են սույն օրենքի պահանջներին:</w:t>
      </w:r>
    </w:p>
    <w:p w:rsidR="009F1885" w:rsidRDefault="00E6249A" w:rsidP="009F1885">
      <w:pPr>
        <w:pStyle w:val="NormalWeb"/>
        <w:spacing w:before="0" w:beforeAutospacing="0" w:after="0" w:afterAutospacing="0"/>
        <w:ind w:firstLine="375"/>
        <w:rPr>
          <w:rStyle w:val="Emphasis"/>
          <w:rFonts w:ascii="Sylfaen" w:hAnsi="Sylfaen"/>
          <w:b/>
          <w:bCs/>
          <w:shd w:val="clear" w:color="auto" w:fill="FFFFFF"/>
          <w:lang w:val="hy-AM"/>
        </w:rPr>
      </w:pPr>
      <w:r w:rsidRPr="00F07951">
        <w:rPr>
          <w:rStyle w:val="Emphasis"/>
          <w:rFonts w:ascii="Sylfaen" w:hAnsi="Sylfaen"/>
          <w:b/>
          <w:bCs/>
          <w:shd w:val="clear" w:color="auto" w:fill="FFFFFF"/>
        </w:rPr>
        <w:t>(38-րդ հոդվածը լրաց. 12.05.11 ՀՕ-146-Ն, խմբ. 06.10.11 ՀՕ-264-Ն)</w:t>
      </w:r>
      <w:r w:rsidR="009F1885">
        <w:rPr>
          <w:rStyle w:val="Emphasis"/>
          <w:rFonts w:ascii="Sylfaen" w:hAnsi="Sylfaen"/>
          <w:b/>
          <w:bCs/>
          <w:shd w:val="clear" w:color="auto" w:fill="FFFFFF"/>
          <w:lang w:val="hy-AM"/>
        </w:rPr>
        <w:t xml:space="preserve"> </w:t>
      </w:r>
    </w:p>
    <w:p w:rsidR="009F1885" w:rsidRDefault="009F1885" w:rsidP="009F1885">
      <w:pPr>
        <w:pStyle w:val="NormalWeb"/>
        <w:spacing w:before="0" w:beforeAutospacing="0" w:after="0" w:afterAutospacing="0"/>
        <w:ind w:firstLine="375"/>
        <w:rPr>
          <w:rStyle w:val="Emphasis"/>
          <w:rFonts w:ascii="Sylfaen" w:hAnsi="Sylfaen"/>
          <w:b/>
          <w:bCs/>
          <w:shd w:val="clear" w:color="auto" w:fill="FFFFFF"/>
          <w:lang w:val="hy-AM"/>
        </w:rPr>
      </w:pPr>
    </w:p>
    <w:p w:rsidR="009F1885" w:rsidRDefault="009F1885" w:rsidP="009F1885">
      <w:pPr>
        <w:pStyle w:val="NormalWeb"/>
        <w:spacing w:before="0" w:beforeAutospacing="0" w:after="0" w:afterAutospacing="0"/>
        <w:ind w:firstLine="375"/>
        <w:rPr>
          <w:rFonts w:ascii="Sylfaen" w:hAnsi="Sylfaen"/>
          <w:bCs/>
          <w:iCs/>
          <w:shd w:val="clear" w:color="auto" w:fill="FFFFFF"/>
          <w:lang w:val="hy-AM"/>
        </w:rPr>
      </w:pPr>
      <w:r>
        <w:rPr>
          <w:rFonts w:ascii="Sylfaen" w:hAnsi="Sylfaen"/>
          <w:lang w:val="hy-AM"/>
        </w:rPr>
        <w:t>լ</w:t>
      </w:r>
      <w:r w:rsidRPr="00F07951">
        <w:rPr>
          <w:rFonts w:ascii="Sylfaen" w:hAnsi="Sylfaen"/>
          <w:lang w:val="hy-AM"/>
        </w:rPr>
        <w:t xml:space="preserve">րացվել են </w:t>
      </w:r>
      <w:r w:rsidRPr="00F07951">
        <w:rPr>
          <w:rFonts w:ascii="Sylfaen" w:hAnsi="Sylfaen"/>
          <w:bCs/>
          <w:iCs/>
          <w:shd w:val="clear" w:color="auto" w:fill="FFFFFF"/>
          <w:lang w:val="hy-AM"/>
        </w:rPr>
        <w:t>12.05.11 ՀՕ-146-Ն</w:t>
      </w:r>
      <w:r w:rsidRPr="00F07951">
        <w:rPr>
          <w:rFonts w:ascii="Sylfaen" w:hAnsi="Sylfaen"/>
          <w:lang w:val="hy-AM"/>
        </w:rPr>
        <w:t xml:space="preserve"> կողմից և խմբագրվել </w:t>
      </w:r>
      <w:r w:rsidRPr="00F07951">
        <w:rPr>
          <w:rFonts w:ascii="Sylfaen" w:hAnsi="Sylfaen"/>
          <w:bCs/>
          <w:iCs/>
          <w:shd w:val="clear" w:color="auto" w:fill="FFFFFF"/>
          <w:lang w:val="hy-AM"/>
        </w:rPr>
        <w:t>06.10.11 ՀՕ-264-Ն օրենքով</w:t>
      </w:r>
      <w:r>
        <w:rPr>
          <w:rFonts w:ascii="Sylfaen" w:hAnsi="Sylfaen"/>
          <w:bCs/>
          <w:iCs/>
          <w:shd w:val="clear" w:color="auto" w:fill="FFFFFF"/>
          <w:lang w:val="hy-AM"/>
        </w:rPr>
        <w:t>:</w:t>
      </w:r>
    </w:p>
    <w:p w:rsidR="00E6249A" w:rsidRDefault="00E6249A" w:rsidP="009F1885">
      <w:pPr>
        <w:pStyle w:val="NormalWeb"/>
        <w:spacing w:before="0" w:beforeAutospacing="0" w:after="0" w:afterAutospacing="0"/>
        <w:ind w:firstLine="375"/>
        <w:rPr>
          <w:rFonts w:ascii="Sylfaen" w:hAnsi="Sylfaen"/>
          <w:lang w:val="hy-AM"/>
        </w:rPr>
      </w:pPr>
      <w:r w:rsidRPr="00F07951">
        <w:rPr>
          <w:rFonts w:ascii="Sylfaen" w:hAnsi="Sylfaen"/>
          <w:bCs/>
          <w:iCs/>
          <w:shd w:val="clear" w:color="auto" w:fill="FFFFFF"/>
          <w:lang w:val="hy-AM"/>
        </w:rPr>
        <w:t xml:space="preserve">Ձեր հարցի վերաբերյալ պատասխանում ենք, որ 01.12.14 ՀՕ-200-Ն  </w:t>
      </w:r>
      <w:r w:rsidRPr="009F1885">
        <w:rPr>
          <w:rStyle w:val="Strong"/>
          <w:rFonts w:ascii="Sylfaen" w:hAnsi="Sylfaen"/>
          <w:lang w:val="hy-AM"/>
        </w:rPr>
        <w:t>«ՀԱՆՐԱԿՐԹՈՒԹՅԱՆ ՄԱՍԻՆ» ՀԱՅԱՍՏԱՆԻ ՀԱՆՐԱՊԵՏՈՒԹՅԱՆ ՕՐԵՆՔՈՒՄ ԼՐԱՑՈՒՄՆԵՐ ԵՎ ՓՈՓՈԽՈՒԹՅՈՒՆՆԵՐ ԿԱՏԱՐԵԼՈՒ ՄԱՍԻՆ</w:t>
      </w:r>
      <w:r w:rsidR="009F1885">
        <w:rPr>
          <w:rStyle w:val="Strong"/>
          <w:rFonts w:ascii="Sylfaen" w:hAnsi="Sylfaen"/>
          <w:lang w:val="hy-AM"/>
        </w:rPr>
        <w:t xml:space="preserve"> » </w:t>
      </w:r>
      <w:r w:rsidRPr="00F07951">
        <w:rPr>
          <w:rFonts w:ascii="Sylfaen" w:hAnsi="Sylfaen"/>
          <w:lang w:val="hy-AM"/>
        </w:rPr>
        <w:t>օրենքով ՀՕ-160-Ն օրենքի անցումային դրույթներում փոփոխություններ նախատեսված չեն</w:t>
      </w:r>
      <w:r w:rsidR="009F1885">
        <w:rPr>
          <w:rFonts w:ascii="Sylfaen" w:hAnsi="Sylfaen"/>
          <w:lang w:val="hy-AM"/>
        </w:rPr>
        <w:t>: Ն</w:t>
      </w:r>
      <w:r w:rsidRPr="00F07951">
        <w:rPr>
          <w:rFonts w:ascii="Sylfaen" w:hAnsi="Sylfaen"/>
          <w:lang w:val="hy-AM"/>
        </w:rPr>
        <w:t xml:space="preserve">ախորդ 20 հոդվածները ենթադրում են </w:t>
      </w:r>
      <w:r w:rsidR="00F07951" w:rsidRPr="00F07951">
        <w:rPr>
          <w:rFonts w:ascii="Sylfaen" w:hAnsi="Sylfaen"/>
          <w:lang w:val="hy-AM"/>
        </w:rPr>
        <w:t>փոփոխություններ մայր օրենքում, իսկ Հոդված 21</w:t>
      </w:r>
      <w:r w:rsidR="009F1885">
        <w:rPr>
          <w:rFonts w:ascii="Sylfaen" w:hAnsi="Sylfaen"/>
          <w:lang w:val="hy-AM"/>
        </w:rPr>
        <w:t>-ը</w:t>
      </w:r>
      <w:r w:rsidR="00F07951" w:rsidRPr="00F07951">
        <w:rPr>
          <w:rFonts w:ascii="Sylfaen" w:hAnsi="Sylfaen"/>
          <w:lang w:val="hy-AM"/>
        </w:rPr>
        <w:t xml:space="preserve"> սոսկ անցումային դրույթ է, որը վերաբերում է միմիայն ՀՕ-200-Ն</w:t>
      </w:r>
      <w:r w:rsidR="009F1885">
        <w:rPr>
          <w:rFonts w:ascii="Sylfaen" w:hAnsi="Sylfaen"/>
          <w:lang w:val="hy-AM"/>
        </w:rPr>
        <w:t>-ին</w:t>
      </w:r>
      <w:r w:rsidR="00F07951" w:rsidRPr="00F07951">
        <w:rPr>
          <w:rFonts w:ascii="Sylfaen" w:hAnsi="Sylfaen"/>
          <w:lang w:val="hy-AM"/>
        </w:rPr>
        <w:t xml:space="preserve"> </w:t>
      </w:r>
      <w:r w:rsidR="00F07951" w:rsidRPr="009F1885">
        <w:rPr>
          <w:rFonts w:ascii="Sylfaen" w:hAnsi="Sylfaen"/>
          <w:lang w:val="hy-AM"/>
        </w:rPr>
        <w:t>(</w:t>
      </w:r>
      <w:r w:rsidR="009F1885">
        <w:rPr>
          <w:rFonts w:ascii="Sylfaen" w:hAnsi="Sylfaen"/>
          <w:lang w:val="hy-AM"/>
        </w:rPr>
        <w:t>բերվում է</w:t>
      </w:r>
      <w:r w:rsidR="00F07951" w:rsidRPr="009F1885">
        <w:rPr>
          <w:rFonts w:ascii="Sylfaen" w:hAnsi="Sylfaen"/>
          <w:lang w:val="hy-AM"/>
        </w:rPr>
        <w:t>)</w:t>
      </w:r>
    </w:p>
    <w:p w:rsidR="009F1885" w:rsidRDefault="009F1885" w:rsidP="009F1885">
      <w:pPr>
        <w:pStyle w:val="NormalWeb"/>
        <w:spacing w:before="0" w:beforeAutospacing="0" w:after="0" w:afterAutospacing="0"/>
        <w:ind w:firstLine="375"/>
        <w:rPr>
          <w:rFonts w:ascii="Sylfaen" w:hAnsi="Sylfaen"/>
          <w:lang w:val="hy-AM"/>
        </w:rPr>
      </w:pPr>
    </w:p>
    <w:p w:rsidR="009F1885" w:rsidRPr="009F1885" w:rsidRDefault="009F1885" w:rsidP="00E6249A">
      <w:pPr>
        <w:rPr>
          <w:rFonts w:ascii="Sylfaen" w:hAnsi="Sylfaen"/>
          <w:sz w:val="24"/>
          <w:szCs w:val="24"/>
          <w:lang w:val="hy-AM"/>
        </w:rPr>
      </w:pPr>
    </w:p>
    <w:p w:rsidR="00F07951" w:rsidRPr="00F07951" w:rsidRDefault="00F07951" w:rsidP="00F07951">
      <w:pPr>
        <w:pStyle w:val="NormalWeb"/>
        <w:spacing w:before="0" w:beforeAutospacing="0" w:after="0" w:afterAutospacing="0"/>
        <w:ind w:firstLine="375"/>
        <w:rPr>
          <w:rFonts w:ascii="Sylfaen" w:hAnsi="Sylfaen"/>
          <w:lang w:val="hy-AM"/>
        </w:rPr>
      </w:pPr>
      <w:r w:rsidRPr="00F07951">
        <w:rPr>
          <w:rStyle w:val="Strong"/>
          <w:rFonts w:ascii="Sylfaen" w:hAnsi="Sylfaen"/>
          <w:lang w:val="hy-AM"/>
        </w:rPr>
        <w:lastRenderedPageBreak/>
        <w:t>Հոդված 21.</w:t>
      </w:r>
      <w:r w:rsidRPr="00F07951">
        <w:rPr>
          <w:rFonts w:ascii="Sylfaen" w:hAnsi="Sylfaen"/>
          <w:lang w:val="hy-AM"/>
        </w:rPr>
        <w:t xml:space="preserve"> </w:t>
      </w:r>
      <w:r w:rsidRPr="00F07951">
        <w:rPr>
          <w:rStyle w:val="Strong"/>
          <w:rFonts w:ascii="Sylfaen" w:hAnsi="Sylfaen"/>
          <w:lang w:val="hy-AM"/>
        </w:rPr>
        <w:t xml:space="preserve">Անցումային դրույթներ </w:t>
      </w:r>
    </w:p>
    <w:p w:rsidR="00F07951" w:rsidRPr="00F07951" w:rsidRDefault="00F07951" w:rsidP="00F07951">
      <w:pPr>
        <w:pStyle w:val="NormalWeb"/>
        <w:spacing w:before="0" w:beforeAutospacing="0" w:after="0" w:afterAutospacing="0"/>
        <w:ind w:firstLine="375"/>
        <w:rPr>
          <w:rFonts w:ascii="Sylfaen" w:hAnsi="Sylfaen"/>
          <w:lang w:val="hy-AM"/>
        </w:rPr>
      </w:pPr>
      <w:r w:rsidRPr="00F07951">
        <w:rPr>
          <w:rFonts w:ascii="Sylfaen" w:hAnsi="Sylfaen" w:cs="Arial"/>
          <w:lang w:val="hy-AM"/>
        </w:rPr>
        <w:t> </w:t>
      </w:r>
    </w:p>
    <w:p w:rsidR="00F07951" w:rsidRPr="00F07951" w:rsidRDefault="00F07951" w:rsidP="00F07951">
      <w:pPr>
        <w:pStyle w:val="NormalWeb"/>
        <w:spacing w:before="0" w:beforeAutospacing="0" w:after="0" w:afterAutospacing="0"/>
        <w:ind w:firstLine="375"/>
        <w:rPr>
          <w:rFonts w:ascii="Sylfaen" w:hAnsi="Sylfaen"/>
          <w:lang w:val="hy-AM"/>
        </w:rPr>
      </w:pPr>
      <w:r w:rsidRPr="00F07951">
        <w:rPr>
          <w:rFonts w:ascii="Sylfaen" w:hAnsi="Sylfaen"/>
          <w:lang w:val="hy-AM"/>
        </w:rPr>
        <w:t xml:space="preserve">1. Սույն օրենքն ուժի մեջ մտնելուց հետո՝ մինչև 2022 թվականի օգոստոսի 1-ը՝ </w:t>
      </w:r>
    </w:p>
    <w:p w:rsidR="00F07951" w:rsidRPr="00F07951" w:rsidRDefault="00F07951" w:rsidP="00F07951">
      <w:pPr>
        <w:pStyle w:val="NormalWeb"/>
        <w:spacing w:before="0" w:beforeAutospacing="0" w:after="0" w:afterAutospacing="0"/>
        <w:ind w:firstLine="375"/>
        <w:rPr>
          <w:rFonts w:ascii="Sylfaen" w:hAnsi="Sylfaen"/>
          <w:lang w:val="hy-AM"/>
        </w:rPr>
      </w:pPr>
      <w:r w:rsidRPr="00F07951">
        <w:rPr>
          <w:rFonts w:ascii="Sylfaen" w:hAnsi="Sylfaen"/>
          <w:lang w:val="hy-AM"/>
        </w:rPr>
        <w:t xml:space="preserve">1) Հայաստանի Հանրապետության յուրաքանչյուր մարզում գործող առնվազն մեկ, Երևան քաղաքում՝ առնվազն չորս հատուկ հանրակրթական ուսումնական հաստատություն վերակազմակերպվում է տարածքային մանկավարժահոգեբանական աջակցության կենտրոնի։ </w:t>
      </w:r>
    </w:p>
    <w:p w:rsidR="00F07951" w:rsidRPr="00F07951" w:rsidRDefault="00F07951" w:rsidP="00F07951">
      <w:pPr>
        <w:pStyle w:val="NormalWeb"/>
        <w:spacing w:before="0" w:beforeAutospacing="0" w:after="0" w:afterAutospacing="0"/>
        <w:ind w:firstLine="375"/>
        <w:rPr>
          <w:rFonts w:ascii="Sylfaen" w:hAnsi="Sylfaen"/>
          <w:lang w:val="hy-AM"/>
        </w:rPr>
      </w:pPr>
      <w:r w:rsidRPr="00F07951">
        <w:rPr>
          <w:rFonts w:ascii="Sylfaen" w:hAnsi="Sylfaen"/>
          <w:lang w:val="hy-AM"/>
        </w:rPr>
        <w:t>Եթե տվյալ մարզում առկա չէ հատուկ հանրակրթական ուսումնական հաստատություն, ապա մանկավարժահոգեբանական աջակցության կենտրոնի կարող է վերակազմակերպվել կամ պատվիրակվել այնպիսի կազմակերպության, որում առկա են ծառայությունների մատուցման համար անհրաժեշտ պայմաններ:</w:t>
      </w:r>
    </w:p>
    <w:p w:rsidR="00F07951" w:rsidRPr="00F07951" w:rsidRDefault="00F07951" w:rsidP="00F07951">
      <w:pPr>
        <w:pStyle w:val="NormalWeb"/>
        <w:spacing w:before="0" w:beforeAutospacing="0" w:after="0" w:afterAutospacing="0"/>
        <w:ind w:firstLine="375"/>
        <w:rPr>
          <w:rFonts w:ascii="Sylfaen" w:hAnsi="Sylfaen"/>
          <w:lang w:val="hy-AM"/>
        </w:rPr>
      </w:pPr>
      <w:r w:rsidRPr="00F07951">
        <w:rPr>
          <w:rFonts w:ascii="Sylfaen" w:hAnsi="Sylfaen"/>
          <w:lang w:val="hy-AM"/>
        </w:rPr>
        <w:t xml:space="preserve">Մինչև տարածքային մանկավարժահոգեբանական աջակցության կենտրոնների ամբողջական ներդրումը Հանրապետական մանկավարժահոգեբանական աջակցության կենտրոնը շարունակում է կատարել սույն օրենքի 13-րդ հոդվածով սահմանված՝ Օրենքի 17.1-ին հոդվածի 2-րդ և 5-րդ մասերով սահմանված լիազորությունները այն մարզերում, որտեղ դեռևս չեն ստեղծվել տարածքային մանկավարժահոգեբանական աջակցության կենտրոններ։ Դրանց ստեղծմանը հաջորդող մեկ շաբաթվա ընթացքում հանրապետական կենտրոնը տվյալ տարածքի (մարզի) շահառուների և նախընթաց գործընթացների վերաբերյալ տվյալները և փաստաթղթային հիմքերը փոխանցում է տվյալ տարածքային կենտրոն՝ համաձայն քաղաքացիաիրավական օրենսդրության. </w:t>
      </w:r>
    </w:p>
    <w:p w:rsidR="00F07951" w:rsidRPr="00F07951" w:rsidRDefault="00F07951" w:rsidP="00F07951">
      <w:pPr>
        <w:pStyle w:val="NormalWeb"/>
        <w:spacing w:before="0" w:beforeAutospacing="0" w:after="0" w:afterAutospacing="0"/>
        <w:ind w:firstLine="375"/>
        <w:rPr>
          <w:rFonts w:ascii="Sylfaen" w:hAnsi="Sylfaen"/>
          <w:lang w:val="hy-AM"/>
        </w:rPr>
      </w:pPr>
      <w:r w:rsidRPr="00F07951">
        <w:rPr>
          <w:rFonts w:ascii="Sylfaen" w:hAnsi="Sylfaen"/>
          <w:lang w:val="hy-AM"/>
        </w:rPr>
        <w:t xml:space="preserve">2) Հայաստանի Հանրապետության պետական հանրակրթական ուսումնական հաստատություններում ներդրվում են ուսուցչի օգնականի հաստիքներ, որոնց թիվը որոշվում է տվյալ դպրոցում սովորողների միջին տարեկան թվի 10 տոկոսի հաշվարկի հարաբերակցությունից. </w:t>
      </w:r>
    </w:p>
    <w:p w:rsidR="00F07951" w:rsidRPr="00F07951" w:rsidRDefault="00F07951" w:rsidP="00F07951">
      <w:pPr>
        <w:pStyle w:val="NormalWeb"/>
        <w:spacing w:before="0" w:beforeAutospacing="0" w:after="0" w:afterAutospacing="0"/>
        <w:ind w:firstLine="375"/>
        <w:rPr>
          <w:rFonts w:ascii="Sylfaen" w:hAnsi="Sylfaen"/>
          <w:lang w:val="hy-AM"/>
        </w:rPr>
      </w:pPr>
      <w:r w:rsidRPr="00F07951">
        <w:rPr>
          <w:rFonts w:ascii="Sylfaen" w:hAnsi="Sylfaen"/>
          <w:lang w:val="hy-AM"/>
        </w:rPr>
        <w:t>3) մինչև Հայաստանի Հանրապետության ամբողջ տարածքում սույն օրենքի 13-րդ հոդվածով սահմանված՝ Օրենքի 17.1-ին հոդվածի միջոցառումների ներդրման ավարտը սույն հոդվածի 1-ին կետով սահմանված տարածքային մանկավարժահոգեբանական աջակցության կենտրոն չունեցող մարզերի հանրակրթական դպրոցների համար կիրառվում է երեխայի կրթության առանձնահատուկ պայմանների կարիքի գնահատման գործող կարգը.</w:t>
      </w:r>
    </w:p>
    <w:p w:rsidR="00F07951" w:rsidRPr="00F07951" w:rsidRDefault="00F07951" w:rsidP="00F07951">
      <w:pPr>
        <w:pStyle w:val="NormalWeb"/>
        <w:spacing w:before="0" w:beforeAutospacing="0" w:after="0" w:afterAutospacing="0"/>
        <w:ind w:firstLine="375"/>
        <w:rPr>
          <w:rFonts w:ascii="Sylfaen" w:hAnsi="Sylfaen"/>
          <w:lang w:val="hy-AM"/>
        </w:rPr>
      </w:pPr>
      <w:r w:rsidRPr="00F07951">
        <w:rPr>
          <w:rFonts w:ascii="Sylfaen" w:hAnsi="Sylfaen"/>
          <w:lang w:val="hy-AM"/>
        </w:rPr>
        <w:t xml:space="preserve">4) մինչև 2025 թվականի օգոստոսի 1-ը ներդրվում է համընդհանուր ներառական կրթության համակարգը՝ համաձայն Հայաստանի Հանրապետության կառավարության հաստատած գործողությունների պլանի և ժամանակացույցի։ </w:t>
      </w:r>
    </w:p>
    <w:p w:rsidR="00F07951" w:rsidRPr="00F07951" w:rsidRDefault="00F07951" w:rsidP="00F07951">
      <w:pPr>
        <w:pStyle w:val="NormalWeb"/>
        <w:spacing w:before="0" w:beforeAutospacing="0" w:after="0" w:afterAutospacing="0"/>
        <w:ind w:firstLine="375"/>
        <w:rPr>
          <w:rFonts w:ascii="Sylfaen" w:hAnsi="Sylfaen"/>
          <w:lang w:val="hy-AM"/>
        </w:rPr>
      </w:pPr>
      <w:r w:rsidRPr="00F07951">
        <w:rPr>
          <w:rFonts w:ascii="Sylfaen" w:hAnsi="Sylfaen"/>
          <w:lang w:val="hy-AM"/>
        </w:rPr>
        <w:t>2. Ոչ պետական ուսումնական հաստատության և հանրակրթական հիմնական ծրագրեր իրականացնող ստորաբաժանման ղեկավարները վերապատրաստվում և հավաստագրվում են մինչև 2016 թվականի հունվարի մեկը: Հավաստագիր չստացած ոչ պետական ուսումնական հաստատության և հանրակրթական հիմնական ծրագրեր իրականացնող ստորաբաժանման ղեկավարների հետ կնքված աշխատանքային պայմանագրերը լուծվում են:</w:t>
      </w:r>
    </w:p>
    <w:p w:rsidR="00F07951" w:rsidRDefault="00F07951" w:rsidP="00E6249A">
      <w:pPr>
        <w:rPr>
          <w:rFonts w:ascii="Sylfaen" w:hAnsi="Sylfaen"/>
          <w:sz w:val="24"/>
          <w:szCs w:val="24"/>
          <w:lang w:val="hy-AM"/>
        </w:rPr>
      </w:pPr>
    </w:p>
    <w:p w:rsidR="00F07951" w:rsidRPr="00F07951" w:rsidRDefault="00F07951" w:rsidP="00F07951">
      <w:pPr>
        <w:pStyle w:val="ListParagraph"/>
        <w:numPr>
          <w:ilvl w:val="0"/>
          <w:numId w:val="1"/>
        </w:numPr>
        <w:rPr>
          <w:rFonts w:ascii="Sylfaen" w:eastAsia="Times New Roman" w:hAnsi="Sylfaen" w:cs="Times New Roman"/>
          <w:sz w:val="24"/>
          <w:szCs w:val="24"/>
          <w:lang w:val="hy-AM"/>
        </w:rPr>
      </w:pPr>
      <w:r w:rsidRPr="00F07951">
        <w:rPr>
          <w:rFonts w:ascii="Sylfaen" w:hAnsi="Sylfaen" w:cs="Sylfaen"/>
          <w:sz w:val="24"/>
          <w:szCs w:val="24"/>
          <w:lang w:val="hy-AM"/>
        </w:rPr>
        <w:t>Ինչ</w:t>
      </w:r>
      <w:r w:rsidRPr="00F07951">
        <w:rPr>
          <w:rFonts w:ascii="Sylfaen" w:hAnsi="Sylfaen"/>
          <w:sz w:val="24"/>
          <w:szCs w:val="24"/>
          <w:lang w:val="hy-AM"/>
        </w:rPr>
        <w:t xml:space="preserve"> վերաբերում է </w:t>
      </w:r>
      <w:r w:rsidRPr="00F07951">
        <w:rPr>
          <w:rFonts w:ascii="Arial Unicode" w:eastAsia="Times New Roman" w:hAnsi="Arial Unicode" w:cs="Times New Roman"/>
          <w:sz w:val="21"/>
          <w:szCs w:val="21"/>
          <w:lang w:val="hy-AM"/>
        </w:rPr>
        <w:t>08.04.2010</w:t>
      </w:r>
      <w:r w:rsidRPr="00F07951">
        <w:rPr>
          <w:rFonts w:ascii="Sylfaen" w:eastAsia="Times New Roman" w:hAnsi="Sylfaen" w:cs="Times New Roman"/>
          <w:sz w:val="21"/>
          <w:szCs w:val="21"/>
          <w:lang w:val="hy-AM"/>
        </w:rPr>
        <w:t xml:space="preserve"> </w:t>
      </w:r>
      <w:r w:rsidRPr="00F07951">
        <w:rPr>
          <w:rFonts w:ascii="Sylfaen" w:eastAsia="Times New Roman" w:hAnsi="Sylfaen" w:cs="Times New Roman"/>
          <w:sz w:val="24"/>
          <w:szCs w:val="24"/>
          <w:lang w:val="hy-AM"/>
        </w:rPr>
        <w:t>N 439-Ն կառավարության որոշմանը, ապա Դուք իրավացի եք, աղյուսակները պետք է հանվեն</w:t>
      </w:r>
      <w:r>
        <w:rPr>
          <w:rFonts w:ascii="Sylfaen" w:eastAsia="Times New Roman" w:hAnsi="Sylfaen" w:cs="Times New Roman"/>
          <w:sz w:val="24"/>
          <w:szCs w:val="24"/>
          <w:lang w:val="hy-AM"/>
        </w:rPr>
        <w:t>:</w:t>
      </w:r>
      <w:r w:rsidRPr="00F07951">
        <w:rPr>
          <w:rFonts w:ascii="Sylfaen" w:eastAsia="Times New Roman" w:hAnsi="Sylfaen" w:cs="Times New Roman"/>
          <w:sz w:val="24"/>
          <w:szCs w:val="24"/>
          <w:lang w:val="hy-AM"/>
        </w:rPr>
        <w:t xml:space="preserve"> </w:t>
      </w:r>
    </w:p>
    <w:p w:rsidR="00F07951" w:rsidRPr="00F07951" w:rsidRDefault="00F07951" w:rsidP="00F07951">
      <w:pPr>
        <w:ind w:left="360"/>
        <w:rPr>
          <w:rFonts w:ascii="Sylfaen" w:hAnsi="Sylfaen"/>
          <w:sz w:val="24"/>
          <w:szCs w:val="24"/>
          <w:lang w:val="hy-AM"/>
        </w:rPr>
      </w:pPr>
      <w:r>
        <w:rPr>
          <w:rFonts w:ascii="Sylfaen" w:hAnsi="Sylfaen"/>
          <w:sz w:val="24"/>
          <w:szCs w:val="24"/>
          <w:lang w:val="hy-AM"/>
        </w:rPr>
        <w:t>Շնորհակալություն համագործակցելու և ուշադիր լինելու համար:</w:t>
      </w:r>
    </w:p>
    <w:p w:rsidR="00F07951" w:rsidRPr="00F07951" w:rsidRDefault="00F07951" w:rsidP="00E6249A">
      <w:pPr>
        <w:rPr>
          <w:rFonts w:ascii="Sylfaen" w:hAnsi="Sylfaen"/>
          <w:sz w:val="24"/>
          <w:szCs w:val="24"/>
          <w:lang w:val="hy-AM"/>
        </w:rPr>
      </w:pPr>
    </w:p>
    <w:sectPr w:rsidR="00F07951" w:rsidRPr="00F07951" w:rsidSect="005373A2">
      <w:pgSz w:w="11907" w:h="16840"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w:panose1 w:val="020B0604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5921F1"/>
    <w:multiLevelType w:val="hybridMultilevel"/>
    <w:tmpl w:val="E3B2A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49A"/>
    <w:rsid w:val="00052AE4"/>
    <w:rsid w:val="005373A2"/>
    <w:rsid w:val="00577F80"/>
    <w:rsid w:val="009F1885"/>
    <w:rsid w:val="00E6249A"/>
    <w:rsid w:val="00F0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4E32C0-86A8-4262-B6EE-28B4FD26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49A"/>
    <w:pPr>
      <w:ind w:left="720"/>
      <w:contextualSpacing/>
    </w:pPr>
  </w:style>
  <w:style w:type="paragraph" w:styleId="NormalWeb">
    <w:name w:val="Normal (Web)"/>
    <w:basedOn w:val="Normal"/>
    <w:uiPriority w:val="99"/>
    <w:unhideWhenUsed/>
    <w:rsid w:val="00E624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249A"/>
    <w:rPr>
      <w:b/>
      <w:bCs/>
    </w:rPr>
  </w:style>
  <w:style w:type="character" w:styleId="Emphasis">
    <w:name w:val="Emphasis"/>
    <w:basedOn w:val="DefaultParagraphFont"/>
    <w:uiPriority w:val="20"/>
    <w:qFormat/>
    <w:rsid w:val="00E6249A"/>
    <w:rPr>
      <w:i/>
      <w:iCs/>
    </w:rPr>
  </w:style>
  <w:style w:type="paragraph" w:styleId="BalloonText">
    <w:name w:val="Balloon Text"/>
    <w:basedOn w:val="Normal"/>
    <w:link w:val="BalloonTextChar"/>
    <w:uiPriority w:val="99"/>
    <w:semiHidden/>
    <w:unhideWhenUsed/>
    <w:rsid w:val="009F1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8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3276">
      <w:bodyDiv w:val="1"/>
      <w:marLeft w:val="0"/>
      <w:marRight w:val="0"/>
      <w:marTop w:val="0"/>
      <w:marBottom w:val="0"/>
      <w:divBdr>
        <w:top w:val="none" w:sz="0" w:space="0" w:color="auto"/>
        <w:left w:val="none" w:sz="0" w:space="0" w:color="auto"/>
        <w:bottom w:val="none" w:sz="0" w:space="0" w:color="auto"/>
        <w:right w:val="none" w:sz="0" w:space="0" w:color="auto"/>
      </w:divBdr>
      <w:divsChild>
        <w:div w:id="172384300">
          <w:marLeft w:val="0"/>
          <w:marRight w:val="0"/>
          <w:marTop w:val="0"/>
          <w:marBottom w:val="0"/>
          <w:divBdr>
            <w:top w:val="none" w:sz="0" w:space="0" w:color="auto"/>
            <w:left w:val="none" w:sz="0" w:space="0" w:color="auto"/>
            <w:bottom w:val="none" w:sz="0" w:space="0" w:color="auto"/>
            <w:right w:val="none" w:sz="0" w:space="0" w:color="auto"/>
          </w:divBdr>
        </w:div>
      </w:divsChild>
    </w:div>
    <w:div w:id="647173019">
      <w:bodyDiv w:val="1"/>
      <w:marLeft w:val="0"/>
      <w:marRight w:val="0"/>
      <w:marTop w:val="0"/>
      <w:marBottom w:val="0"/>
      <w:divBdr>
        <w:top w:val="none" w:sz="0" w:space="0" w:color="auto"/>
        <w:left w:val="none" w:sz="0" w:space="0" w:color="auto"/>
        <w:bottom w:val="none" w:sz="0" w:space="0" w:color="auto"/>
        <w:right w:val="none" w:sz="0" w:space="0" w:color="auto"/>
      </w:divBdr>
      <w:divsChild>
        <w:div w:id="706879197">
          <w:marLeft w:val="0"/>
          <w:marRight w:val="0"/>
          <w:marTop w:val="0"/>
          <w:marBottom w:val="0"/>
          <w:divBdr>
            <w:top w:val="none" w:sz="0" w:space="0" w:color="auto"/>
            <w:left w:val="none" w:sz="0" w:space="0" w:color="auto"/>
            <w:bottom w:val="none" w:sz="0" w:space="0" w:color="auto"/>
            <w:right w:val="none" w:sz="0" w:space="0" w:color="auto"/>
          </w:divBdr>
        </w:div>
      </w:divsChild>
    </w:div>
    <w:div w:id="1032389278">
      <w:bodyDiv w:val="1"/>
      <w:marLeft w:val="0"/>
      <w:marRight w:val="0"/>
      <w:marTop w:val="0"/>
      <w:marBottom w:val="0"/>
      <w:divBdr>
        <w:top w:val="none" w:sz="0" w:space="0" w:color="auto"/>
        <w:left w:val="none" w:sz="0" w:space="0" w:color="auto"/>
        <w:bottom w:val="none" w:sz="0" w:space="0" w:color="auto"/>
        <w:right w:val="none" w:sz="0" w:space="0" w:color="auto"/>
      </w:divBdr>
      <w:divsChild>
        <w:div w:id="643970220">
          <w:marLeft w:val="0"/>
          <w:marRight w:val="0"/>
          <w:marTop w:val="0"/>
          <w:marBottom w:val="0"/>
          <w:divBdr>
            <w:top w:val="none" w:sz="0" w:space="0" w:color="auto"/>
            <w:left w:val="none" w:sz="0" w:space="0" w:color="auto"/>
            <w:bottom w:val="none" w:sz="0" w:space="0" w:color="auto"/>
            <w:right w:val="none" w:sz="0" w:space="0" w:color="auto"/>
          </w:divBdr>
        </w:div>
      </w:divsChild>
    </w:div>
    <w:div w:id="1131052895">
      <w:bodyDiv w:val="1"/>
      <w:marLeft w:val="0"/>
      <w:marRight w:val="0"/>
      <w:marTop w:val="0"/>
      <w:marBottom w:val="0"/>
      <w:divBdr>
        <w:top w:val="none" w:sz="0" w:space="0" w:color="auto"/>
        <w:left w:val="none" w:sz="0" w:space="0" w:color="auto"/>
        <w:bottom w:val="none" w:sz="0" w:space="0" w:color="auto"/>
        <w:right w:val="none" w:sz="0" w:space="0" w:color="auto"/>
      </w:divBdr>
      <w:divsChild>
        <w:div w:id="115608149">
          <w:marLeft w:val="0"/>
          <w:marRight w:val="0"/>
          <w:marTop w:val="0"/>
          <w:marBottom w:val="0"/>
          <w:divBdr>
            <w:top w:val="none" w:sz="0" w:space="0" w:color="auto"/>
            <w:left w:val="none" w:sz="0" w:space="0" w:color="auto"/>
            <w:bottom w:val="none" w:sz="0" w:space="0" w:color="auto"/>
            <w:right w:val="none" w:sz="0" w:space="0" w:color="auto"/>
          </w:divBdr>
        </w:div>
      </w:divsChild>
    </w:div>
    <w:div w:id="1249078095">
      <w:bodyDiv w:val="1"/>
      <w:marLeft w:val="0"/>
      <w:marRight w:val="0"/>
      <w:marTop w:val="0"/>
      <w:marBottom w:val="0"/>
      <w:divBdr>
        <w:top w:val="none" w:sz="0" w:space="0" w:color="auto"/>
        <w:left w:val="none" w:sz="0" w:space="0" w:color="auto"/>
        <w:bottom w:val="none" w:sz="0" w:space="0" w:color="auto"/>
        <w:right w:val="none" w:sz="0" w:space="0" w:color="auto"/>
      </w:divBdr>
      <w:divsChild>
        <w:div w:id="1350720217">
          <w:marLeft w:val="0"/>
          <w:marRight w:val="0"/>
          <w:marTop w:val="0"/>
          <w:marBottom w:val="0"/>
          <w:divBdr>
            <w:top w:val="none" w:sz="0" w:space="0" w:color="auto"/>
            <w:left w:val="none" w:sz="0" w:space="0" w:color="auto"/>
            <w:bottom w:val="none" w:sz="0" w:space="0" w:color="auto"/>
            <w:right w:val="none" w:sz="0" w:space="0" w:color="auto"/>
          </w:divBdr>
        </w:div>
      </w:divsChild>
    </w:div>
    <w:div w:id="1519192492">
      <w:bodyDiv w:val="1"/>
      <w:marLeft w:val="0"/>
      <w:marRight w:val="0"/>
      <w:marTop w:val="0"/>
      <w:marBottom w:val="0"/>
      <w:divBdr>
        <w:top w:val="none" w:sz="0" w:space="0" w:color="auto"/>
        <w:left w:val="none" w:sz="0" w:space="0" w:color="auto"/>
        <w:bottom w:val="none" w:sz="0" w:space="0" w:color="auto"/>
        <w:right w:val="none" w:sz="0" w:space="0" w:color="auto"/>
      </w:divBdr>
      <w:divsChild>
        <w:div w:id="2110084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Mher Karamyan</dc:creator>
  <cp:lastModifiedBy>Լիլիթ Ազիզխանյան</cp:lastModifiedBy>
  <cp:revision>2</cp:revision>
  <cp:lastPrinted>2015-03-23T06:36:00Z</cp:lastPrinted>
  <dcterms:created xsi:type="dcterms:W3CDTF">2015-03-23T11:00:00Z</dcterms:created>
  <dcterms:modified xsi:type="dcterms:W3CDTF">2015-03-23T11:00:00Z</dcterms:modified>
</cp:coreProperties>
</file>